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3F" w:rsidRPr="002F7C0B" w:rsidRDefault="0054773F" w:rsidP="0054773F">
      <w:pPr>
        <w:snapToGrid w:val="0"/>
        <w:jc w:val="center"/>
        <w:rPr>
          <w:rFonts w:eastAsia="標楷體"/>
          <w:sz w:val="32"/>
          <w:szCs w:val="32"/>
        </w:rPr>
      </w:pPr>
      <w:r w:rsidRPr="002F7C0B">
        <w:rPr>
          <w:rFonts w:eastAsia="標楷體"/>
          <w:b/>
          <w:bCs/>
          <w:sz w:val="32"/>
          <w:szCs w:val="32"/>
        </w:rPr>
        <w:t>科技部中部科學工業園區管理局</w:t>
      </w:r>
    </w:p>
    <w:p w:rsidR="0054773F" w:rsidRPr="002F7C0B" w:rsidRDefault="008B7C7E" w:rsidP="0054773F">
      <w:pPr>
        <w:snapToGrid w:val="0"/>
        <w:jc w:val="center"/>
        <w:outlineLvl w:val="0"/>
        <w:rPr>
          <w:rFonts w:eastAsia="標楷體"/>
          <w:b/>
          <w:spacing w:val="-20"/>
          <w:sz w:val="32"/>
          <w:szCs w:val="32"/>
        </w:rPr>
      </w:pPr>
      <w:r w:rsidRPr="002F7C0B">
        <w:rPr>
          <w:rFonts w:eastAsia="標楷體"/>
          <w:b/>
          <w:spacing w:val="-20"/>
          <w:sz w:val="32"/>
          <w:szCs w:val="32"/>
        </w:rPr>
        <w:t>強化區域合作推動中南部智慧機械及航太產業升級計畫</w:t>
      </w:r>
    </w:p>
    <w:p w:rsidR="0054773F" w:rsidRPr="002F7C0B" w:rsidRDefault="0054773F" w:rsidP="008B7C7E">
      <w:pPr>
        <w:jc w:val="center"/>
        <w:rPr>
          <w:rFonts w:eastAsia="標楷體"/>
          <w:b/>
          <w:sz w:val="32"/>
          <w:szCs w:val="32"/>
        </w:rPr>
      </w:pPr>
      <w:r w:rsidRPr="002F7C0B">
        <w:rPr>
          <w:rFonts w:eastAsia="標楷體"/>
          <w:b/>
          <w:sz w:val="32"/>
          <w:szCs w:val="32"/>
        </w:rPr>
        <w:t>人才培育課程</w:t>
      </w:r>
    </w:p>
    <w:p w:rsidR="002805E1" w:rsidRPr="002805E1" w:rsidRDefault="002805E1" w:rsidP="006A2C67">
      <w:pPr>
        <w:pStyle w:val="Default"/>
        <w:snapToGrid w:val="0"/>
        <w:rPr>
          <w:rFonts w:eastAsia="標楷體"/>
          <w:b/>
          <w:sz w:val="28"/>
          <w:szCs w:val="28"/>
        </w:rPr>
      </w:pPr>
      <w:r w:rsidRPr="002805E1">
        <w:rPr>
          <w:rFonts w:eastAsia="標楷體" w:hint="eastAsia"/>
          <w:b/>
          <w:sz w:val="28"/>
          <w:szCs w:val="28"/>
        </w:rPr>
        <w:t>課程名稱：</w:t>
      </w:r>
      <w:r w:rsidRPr="002805E1">
        <w:rPr>
          <w:rFonts w:ascii="標楷體" w:eastAsia="標楷體" w:hAnsiTheme="minorHAnsi" w:cs="標楷體"/>
          <w:b/>
          <w:sz w:val="28"/>
          <w:szCs w:val="28"/>
        </w:rPr>
        <w:t xml:space="preserve"> </w:t>
      </w:r>
      <w:r w:rsidRPr="002805E1">
        <w:rPr>
          <w:rFonts w:ascii="標楷體" w:eastAsia="標楷體" w:hAnsiTheme="minorHAnsi" w:cs="標楷體" w:hint="eastAsia"/>
          <w:b/>
          <w:sz w:val="28"/>
          <w:szCs w:val="28"/>
        </w:rPr>
        <w:t>工具機自動化上下料技術應用</w:t>
      </w:r>
      <w:r w:rsidRPr="002805E1">
        <w:rPr>
          <w:rFonts w:ascii="標楷體" w:eastAsia="標楷體" w:hAnsiTheme="minorHAnsi" w:cs="標楷體"/>
          <w:b/>
          <w:sz w:val="28"/>
          <w:szCs w:val="28"/>
        </w:rPr>
        <w:t>-</w:t>
      </w:r>
      <w:r w:rsidRPr="002805E1">
        <w:rPr>
          <w:rFonts w:ascii="標楷體" w:eastAsia="標楷體" w:hAnsiTheme="minorHAnsi" w:cs="標楷體" w:hint="eastAsia"/>
          <w:b/>
          <w:sz w:val="28"/>
          <w:szCs w:val="28"/>
        </w:rPr>
        <w:t>進階</w:t>
      </w:r>
    </w:p>
    <w:p w:rsidR="008E3028" w:rsidRPr="002805E1" w:rsidRDefault="00567EAD" w:rsidP="006A2C67">
      <w:pPr>
        <w:snapToGrid w:val="0"/>
        <w:rPr>
          <w:rFonts w:eastAsia="標楷體"/>
          <w:b/>
          <w:sz w:val="28"/>
          <w:szCs w:val="28"/>
        </w:rPr>
      </w:pPr>
      <w:r w:rsidRPr="002805E1">
        <w:rPr>
          <w:rFonts w:eastAsia="標楷體"/>
          <w:b/>
          <w:sz w:val="28"/>
          <w:szCs w:val="28"/>
        </w:rPr>
        <w:t>課程簡介：</w:t>
      </w:r>
    </w:p>
    <w:p w:rsidR="002805E1" w:rsidRPr="00D03D56" w:rsidRDefault="002805E1" w:rsidP="00D03D5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</w:rPr>
      </w:pPr>
      <w:r w:rsidRPr="002805E1">
        <w:rPr>
          <w:rFonts w:ascii="標楷體" w:eastAsia="標楷體" w:hAnsiTheme="minorHAnsi" w:cs="標楷體" w:hint="eastAsia"/>
          <w:color w:val="000000"/>
          <w:kern w:val="0"/>
        </w:rPr>
        <w:t>因應全球產業勞動力不足，產品生命周期變短，市場快速變化，人才技術的不足以及學用落差大，造成部分上、下游中小企業趕不上旗艦大廠的腳步，甚至影響產業之及國際競爭力。因此德國</w:t>
      </w:r>
      <w:r w:rsidRPr="002805E1">
        <w:rPr>
          <w:rFonts w:eastAsia="標楷體"/>
          <w:color w:val="000000"/>
          <w:kern w:val="0"/>
        </w:rPr>
        <w:t>2012</w:t>
      </w:r>
      <w:r w:rsidRPr="002805E1">
        <w:rPr>
          <w:rFonts w:ascii="標楷體" w:eastAsia="標楷體" w:cs="標楷體" w:hint="eastAsia"/>
          <w:color w:val="000000"/>
          <w:kern w:val="0"/>
        </w:rPr>
        <w:t>年提出工業</w:t>
      </w:r>
      <w:r w:rsidRPr="002805E1">
        <w:rPr>
          <w:rFonts w:eastAsia="標楷體"/>
          <w:color w:val="000000"/>
          <w:kern w:val="0"/>
        </w:rPr>
        <w:t>4.0</w:t>
      </w:r>
      <w:r w:rsidRPr="002805E1">
        <w:rPr>
          <w:rFonts w:ascii="標楷體" w:eastAsia="標楷體" w:cs="標楷體" w:hint="eastAsia"/>
          <w:color w:val="000000"/>
          <w:kern w:val="0"/>
        </w:rPr>
        <w:t>，以整合資通訊現代科技與傳統工業生產</w:t>
      </w:r>
      <w:proofErr w:type="gramStart"/>
      <w:r w:rsidRPr="002805E1">
        <w:rPr>
          <w:rFonts w:ascii="標楷體" w:eastAsia="標楷體" w:cs="標楷體" w:hint="eastAsia"/>
          <w:color w:val="000000"/>
          <w:kern w:val="0"/>
        </w:rPr>
        <w:t>的網實整合</w:t>
      </w:r>
      <w:proofErr w:type="gramEnd"/>
      <w:r w:rsidRPr="002805E1">
        <w:rPr>
          <w:rFonts w:ascii="標楷體" w:eastAsia="標楷體" w:cs="標楷體" w:hint="eastAsia"/>
          <w:color w:val="000000"/>
          <w:kern w:val="0"/>
        </w:rPr>
        <w:t>系統</w:t>
      </w:r>
      <w:r w:rsidRPr="002805E1">
        <w:rPr>
          <w:rFonts w:eastAsia="標楷體"/>
          <w:color w:val="000000"/>
          <w:kern w:val="0"/>
        </w:rPr>
        <w:t>(Cyber Physical System; CPS)</w:t>
      </w:r>
      <w:r w:rsidRPr="002805E1">
        <w:rPr>
          <w:rFonts w:ascii="標楷體" w:eastAsia="標楷體" w:cs="標楷體" w:hint="eastAsia"/>
          <w:color w:val="000000"/>
          <w:kern w:val="0"/>
        </w:rPr>
        <w:t>為核心，建構「智慧工廠」</w:t>
      </w:r>
      <w:r w:rsidRPr="002805E1">
        <w:rPr>
          <w:rFonts w:eastAsia="標楷體"/>
          <w:color w:val="000000"/>
          <w:kern w:val="0"/>
        </w:rPr>
        <w:t xml:space="preserve">; </w:t>
      </w:r>
      <w:r w:rsidRPr="002805E1">
        <w:rPr>
          <w:rFonts w:ascii="標楷體" w:eastAsia="標楷體" w:cs="標楷體" w:hint="eastAsia"/>
          <w:color w:val="000000"/>
          <w:kern w:val="0"/>
        </w:rPr>
        <w:t>美國也啟動「先進製造業夥伴關係</w:t>
      </w:r>
      <w:r w:rsidRPr="002805E1">
        <w:rPr>
          <w:rFonts w:eastAsia="標楷體"/>
          <w:color w:val="000000"/>
          <w:kern w:val="0"/>
        </w:rPr>
        <w:t>(AMP)</w:t>
      </w:r>
      <w:r w:rsidRPr="002805E1">
        <w:rPr>
          <w:rFonts w:ascii="標楷體" w:eastAsia="標楷體" w:cs="標楷體" w:hint="eastAsia"/>
          <w:color w:val="000000"/>
          <w:kern w:val="0"/>
        </w:rPr>
        <w:t>」計畫，目標重新取得國際製造競爭力領先地位；日本推動「機器人國家發展計畫」發展人機共存未來工廠，並投入發展醫療照護等服務型機器人。智慧工廠或是工業</w:t>
      </w:r>
      <w:r w:rsidRPr="002805E1">
        <w:rPr>
          <w:rFonts w:eastAsia="標楷體"/>
          <w:color w:val="000000"/>
          <w:kern w:val="0"/>
        </w:rPr>
        <w:t>4.0</w:t>
      </w:r>
      <w:r w:rsidRPr="002805E1">
        <w:rPr>
          <w:rFonts w:ascii="標楷體" w:eastAsia="標楷體" w:cs="標楷體" w:hint="eastAsia"/>
          <w:color w:val="000000"/>
          <w:kern w:val="0"/>
        </w:rPr>
        <w:t>的最佳助手就是工業機械手臂，它扮演了工件物流與機台串聯的角色，本課程將針對機械手臂的應用，以及機械手臂的智慧化功能技術與控制技術等進行介紹。</w:t>
      </w:r>
      <w:r w:rsidR="00567EAD" w:rsidRPr="002F7C0B">
        <w:rPr>
          <w:rFonts w:eastAsia="標楷體"/>
          <w:color w:val="000000"/>
          <w:kern w:val="0"/>
        </w:rPr>
        <w:t xml:space="preserve"> 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6"/>
        <w:gridCol w:w="1553"/>
        <w:gridCol w:w="5638"/>
        <w:gridCol w:w="1275"/>
      </w:tblGrid>
      <w:tr w:rsidR="00D54042" w:rsidRPr="00D03D56" w:rsidTr="00D03D56">
        <w:trPr>
          <w:trHeight w:val="336"/>
        </w:trPr>
        <w:tc>
          <w:tcPr>
            <w:tcW w:w="851" w:type="pct"/>
            <w:shd w:val="clear" w:color="000000" w:fill="EEECE1"/>
            <w:vAlign w:val="center"/>
            <w:hideMark/>
          </w:tcPr>
          <w:p w:rsidR="00D54042" w:rsidRPr="00D03D56" w:rsidRDefault="00D54042" w:rsidP="008B7C7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bookmarkStart w:id="0" w:name="_GoBack"/>
            <w:r w:rsidRPr="00D03D56">
              <w:rPr>
                <w:rFonts w:ascii="標楷體" w:eastAsia="標楷體" w:hAnsi="標楷體"/>
                <w:color w:val="000000"/>
                <w:kern w:val="0"/>
              </w:rPr>
              <w:t>上課時間</w:t>
            </w:r>
          </w:p>
        </w:tc>
        <w:tc>
          <w:tcPr>
            <w:tcW w:w="761" w:type="pct"/>
            <w:shd w:val="clear" w:color="000000" w:fill="EEECE1"/>
            <w:vAlign w:val="center"/>
            <w:hideMark/>
          </w:tcPr>
          <w:p w:rsidR="00D54042" w:rsidRPr="00D03D56" w:rsidRDefault="00D54042" w:rsidP="008B7C7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D03D56">
              <w:rPr>
                <w:rFonts w:ascii="標楷體" w:eastAsia="標楷體" w:hAnsi="標楷體"/>
                <w:color w:val="000000"/>
                <w:kern w:val="0"/>
              </w:rPr>
              <w:t>課程名稱</w:t>
            </w:r>
          </w:p>
        </w:tc>
        <w:tc>
          <w:tcPr>
            <w:tcW w:w="2763" w:type="pct"/>
            <w:shd w:val="clear" w:color="000000" w:fill="EEECE1"/>
            <w:vAlign w:val="center"/>
            <w:hideMark/>
          </w:tcPr>
          <w:p w:rsidR="00D54042" w:rsidRPr="00D03D56" w:rsidRDefault="00D54042" w:rsidP="008B7C7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D03D56">
              <w:rPr>
                <w:rFonts w:ascii="標楷體" w:eastAsia="標楷體" w:hAnsi="標楷體"/>
                <w:color w:val="000000"/>
                <w:kern w:val="0"/>
              </w:rPr>
              <w:t>課程綱要</w:t>
            </w:r>
          </w:p>
        </w:tc>
        <w:tc>
          <w:tcPr>
            <w:tcW w:w="625" w:type="pct"/>
            <w:shd w:val="clear" w:color="000000" w:fill="EEECE1"/>
            <w:vAlign w:val="center"/>
            <w:hideMark/>
          </w:tcPr>
          <w:p w:rsidR="00D54042" w:rsidRPr="00D03D56" w:rsidRDefault="00D54042" w:rsidP="008B7C7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D03D56">
              <w:rPr>
                <w:rFonts w:ascii="標楷體" w:eastAsia="標楷體" w:hAnsi="標楷體"/>
                <w:color w:val="000000"/>
                <w:kern w:val="0"/>
              </w:rPr>
              <w:t>上課地點</w:t>
            </w:r>
          </w:p>
        </w:tc>
      </w:tr>
      <w:tr w:rsidR="00EB4518" w:rsidRPr="00D03D56" w:rsidTr="00D03D56">
        <w:trPr>
          <w:trHeight w:val="445"/>
        </w:trPr>
        <w:tc>
          <w:tcPr>
            <w:tcW w:w="851" w:type="pct"/>
            <w:vMerge w:val="restart"/>
            <w:shd w:val="clear" w:color="auto" w:fill="auto"/>
            <w:vAlign w:val="center"/>
            <w:hideMark/>
          </w:tcPr>
          <w:p w:rsidR="00EB4518" w:rsidRPr="00D03D56" w:rsidRDefault="00EB4518" w:rsidP="00FB122C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03D56">
              <w:rPr>
                <w:rFonts w:ascii="標楷體" w:eastAsia="標楷體" w:hAnsi="標楷體"/>
                <w:kern w:val="0"/>
              </w:rPr>
              <w:t>2018/</w:t>
            </w:r>
            <w:r w:rsidRPr="00D03D56">
              <w:rPr>
                <w:rFonts w:ascii="標楷體" w:eastAsia="標楷體" w:hAnsi="標楷體" w:hint="eastAsia"/>
                <w:kern w:val="0"/>
              </w:rPr>
              <w:t>10</w:t>
            </w:r>
            <w:r w:rsidRPr="00D03D56">
              <w:rPr>
                <w:rFonts w:ascii="標楷體" w:eastAsia="標楷體" w:hAnsi="標楷體"/>
                <w:kern w:val="0"/>
              </w:rPr>
              <w:t>/2~10/3</w:t>
            </w:r>
            <w:r w:rsidRPr="00D03D56">
              <w:rPr>
                <w:rFonts w:ascii="標楷體" w:eastAsia="標楷體" w:hAnsi="標楷體"/>
                <w:kern w:val="0"/>
              </w:rPr>
              <w:br/>
              <w:t>9：00~16：00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  <w:hideMark/>
          </w:tcPr>
          <w:p w:rsidR="00EB4518" w:rsidRPr="00D03D56" w:rsidRDefault="00EB4518" w:rsidP="006A2C6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D03D56">
              <w:rPr>
                <w:rFonts w:ascii="標楷體" w:eastAsia="標楷體" w:hAnsi="標楷體"/>
                <w:color w:val="000000"/>
                <w:kern w:val="0"/>
              </w:rPr>
              <w:t>工具機自動化上下料技術應用-</w:t>
            </w:r>
            <w:r w:rsidRPr="00D03D56">
              <w:rPr>
                <w:rFonts w:ascii="標楷體" w:eastAsia="標楷體" w:hAnsi="標楷體" w:hint="eastAsia"/>
                <w:color w:val="000000"/>
                <w:kern w:val="0"/>
              </w:rPr>
              <w:t>進階</w:t>
            </w:r>
          </w:p>
          <w:p w:rsidR="00EB4518" w:rsidRPr="00D03D56" w:rsidRDefault="00EB4518" w:rsidP="006A2C6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D03D56">
              <w:rPr>
                <w:rFonts w:ascii="標楷體" w:eastAsia="標楷體" w:hAnsi="標楷體"/>
                <w:color w:val="000000"/>
                <w:kern w:val="0"/>
              </w:rPr>
              <w:t>（12小時）</w:t>
            </w:r>
          </w:p>
        </w:tc>
        <w:tc>
          <w:tcPr>
            <w:tcW w:w="2763" w:type="pct"/>
            <w:shd w:val="clear" w:color="auto" w:fill="auto"/>
            <w:vAlign w:val="center"/>
            <w:hideMark/>
          </w:tcPr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 xml:space="preserve">10/2 課程大綱 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  <w:b/>
              </w:rPr>
            </w:pPr>
            <w:r w:rsidRPr="00D03D56">
              <w:rPr>
                <w:rFonts w:ascii="標楷體" w:eastAsia="標楷體" w:hAnsi="標楷體" w:hint="eastAsia"/>
                <w:b/>
              </w:rPr>
              <w:t>製造自動化導論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>(1) 生產系統設施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>(2) 物料運輸系統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>(3) 自動化遷移策略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>(4) 案例-鴻海富士康自動化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  <w:b/>
              </w:rPr>
            </w:pPr>
            <w:r w:rsidRPr="00D03D56">
              <w:rPr>
                <w:rFonts w:ascii="標楷體" w:eastAsia="標楷體" w:hAnsi="標楷體" w:hint="eastAsia"/>
                <w:b/>
              </w:rPr>
              <w:t>製造自動化系統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>(1) 硬式自動化-專用機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>(2) 軟式自動化-數值控制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>(3) 案例-FANUC 720小時無人生產線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  <w:b/>
              </w:rPr>
            </w:pPr>
            <w:r w:rsidRPr="00D03D56">
              <w:rPr>
                <w:rFonts w:ascii="標楷體" w:eastAsia="標楷體" w:hAnsi="標楷體" w:hint="eastAsia"/>
                <w:b/>
              </w:rPr>
              <w:t>機器人技術發展與應用實例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>(1) 國際機器人五大廠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>(2) 機器人相關配件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>(3) 如何導入機器人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>(4) 機器人檢修和維修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  <w:b/>
              </w:rPr>
            </w:pPr>
            <w:r w:rsidRPr="00D03D56">
              <w:rPr>
                <w:rFonts w:ascii="標楷體" w:eastAsia="標楷體" w:hAnsi="標楷體" w:hint="eastAsia"/>
                <w:b/>
              </w:rPr>
              <w:t>機器人視覺輔助輸送帶追蹤系統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>(1) 視覺系統元件的使用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>(2) 視覺定位與檢測技術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>(3) 輸送帶追蹤與物料分類</w:t>
            </w:r>
          </w:p>
          <w:p w:rsidR="00D03D56" w:rsidRPr="003B7404" w:rsidRDefault="00D03D56" w:rsidP="00D03D56">
            <w:pPr>
              <w:rPr>
                <w:rFonts w:ascii="標楷體" w:eastAsia="標楷體" w:hAnsi="標楷體"/>
                <w:b/>
              </w:rPr>
            </w:pPr>
            <w:r w:rsidRPr="003B7404">
              <w:rPr>
                <w:rFonts w:ascii="標楷體" w:eastAsia="標楷體" w:hAnsi="標楷體" w:hint="eastAsia"/>
                <w:b/>
              </w:rPr>
              <w:t>ITRT PC-based CNC控制器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>(1) CNC綜合加工機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>(2) CNC車床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/>
              </w:rPr>
              <w:t>(3) MLC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/>
              </w:rPr>
              <w:t xml:space="preserve">(4) </w:t>
            </w:r>
            <w:proofErr w:type="spellStart"/>
            <w:r w:rsidRPr="00D03D56">
              <w:rPr>
                <w:rFonts w:ascii="標楷體" w:eastAsia="標楷體" w:hAnsi="標楷體"/>
              </w:rPr>
              <w:t>Tappiong</w:t>
            </w:r>
            <w:proofErr w:type="spellEnd"/>
            <w:r w:rsidRPr="00D03D56">
              <w:rPr>
                <w:rFonts w:ascii="標楷體" w:eastAsia="標楷體" w:hAnsi="標楷體"/>
              </w:rPr>
              <w:t xml:space="preserve"> Center and Robot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  <w:b/>
              </w:rPr>
            </w:pPr>
            <w:r w:rsidRPr="00D03D56">
              <w:rPr>
                <w:rFonts w:ascii="標楷體" w:eastAsia="標楷體" w:hAnsi="標楷體" w:hint="eastAsia"/>
                <w:b/>
              </w:rPr>
              <w:t>機器人CAD/CAM應用案例技術分析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>(1) 3C產品研磨與拋光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>(2) CO2焊接</w:t>
            </w:r>
          </w:p>
          <w:p w:rsidR="00EB4518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lastRenderedPageBreak/>
              <w:t>(3) 去除毛邊與輕切削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:rsidR="00EB4518" w:rsidRPr="00D03D56" w:rsidRDefault="00EB4518" w:rsidP="008B7C7E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D03D56">
              <w:rPr>
                <w:rFonts w:ascii="標楷體" w:eastAsia="標楷體" w:hAnsi="標楷體"/>
                <w:color w:val="000000"/>
                <w:kern w:val="0"/>
              </w:rPr>
              <w:lastRenderedPageBreak/>
              <w:t>中興大學中科園區育成</w:t>
            </w:r>
            <w:r w:rsidRPr="00D03D56">
              <w:rPr>
                <w:rFonts w:ascii="標楷體" w:eastAsia="標楷體" w:hAnsi="標楷體"/>
                <w:kern w:val="0"/>
              </w:rPr>
              <w:t>中心（台中市西屯區科園路19號）</w:t>
            </w:r>
          </w:p>
        </w:tc>
      </w:tr>
      <w:tr w:rsidR="00EB4518" w:rsidRPr="00D03D56" w:rsidTr="00D03D56">
        <w:trPr>
          <w:trHeight w:val="6960"/>
        </w:trPr>
        <w:tc>
          <w:tcPr>
            <w:tcW w:w="851" w:type="pct"/>
            <w:vMerge/>
            <w:shd w:val="clear" w:color="auto" w:fill="auto"/>
            <w:vAlign w:val="center"/>
          </w:tcPr>
          <w:p w:rsidR="00EB4518" w:rsidRPr="00D03D56" w:rsidRDefault="00EB4518" w:rsidP="00FB122C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</w:tcPr>
          <w:p w:rsidR="00EB4518" w:rsidRPr="00D03D56" w:rsidRDefault="00EB4518" w:rsidP="006A2C6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763" w:type="pct"/>
            <w:shd w:val="clear" w:color="auto" w:fill="auto"/>
            <w:vAlign w:val="center"/>
          </w:tcPr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 xml:space="preserve">10/3課程大綱 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  <w:b/>
              </w:rPr>
            </w:pPr>
            <w:r w:rsidRPr="00D03D56">
              <w:rPr>
                <w:rFonts w:ascii="標楷體" w:eastAsia="標楷體" w:hAnsi="標楷體" w:hint="eastAsia"/>
                <w:b/>
              </w:rPr>
              <w:t>自動化生產系統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>1.自動化模組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>2.自動化生產單元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>3.自動化</w:t>
            </w:r>
            <w:proofErr w:type="gramStart"/>
            <w:r w:rsidRPr="00D03D56">
              <w:rPr>
                <w:rFonts w:ascii="標楷體" w:eastAsia="標楷體" w:hAnsi="標楷體" w:hint="eastAsia"/>
              </w:rPr>
              <w:t>整場整線</w:t>
            </w:r>
            <w:proofErr w:type="gramEnd"/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>4.智慧機械與AI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  <w:b/>
              </w:rPr>
            </w:pPr>
            <w:r w:rsidRPr="00D03D56">
              <w:rPr>
                <w:rFonts w:ascii="標楷體" w:eastAsia="標楷體" w:hAnsi="標楷體" w:hint="eastAsia"/>
                <w:b/>
              </w:rPr>
              <w:t>五軸工具機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>1.工具機選用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>2. 工具機控制器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>3. 五軸工具機運動學與動力學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 xml:space="preserve">4. </w:t>
            </w:r>
            <w:proofErr w:type="gramStart"/>
            <w:r w:rsidRPr="00D03D56">
              <w:rPr>
                <w:rFonts w:ascii="標楷體" w:eastAsia="標楷體" w:hAnsi="標楷體" w:hint="eastAsia"/>
              </w:rPr>
              <w:t>工具機臂控制器</w:t>
            </w:r>
            <w:proofErr w:type="gramEnd"/>
          </w:p>
          <w:p w:rsidR="00D03D56" w:rsidRPr="00D03D56" w:rsidRDefault="00D03D56" w:rsidP="00D03D56">
            <w:pPr>
              <w:rPr>
                <w:rFonts w:ascii="標楷體" w:eastAsia="標楷體" w:hAnsi="標楷體"/>
                <w:b/>
              </w:rPr>
            </w:pPr>
            <w:r w:rsidRPr="00D03D56">
              <w:rPr>
                <w:rFonts w:ascii="標楷體" w:eastAsia="標楷體" w:hAnsi="標楷體" w:hint="eastAsia"/>
                <w:b/>
              </w:rPr>
              <w:t>六軸關節型機械手臂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>1. 機械手臂選用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>2. 機械手臂控制器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>3. 六軸手臂運動學與動力學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 xml:space="preserve">4. </w:t>
            </w:r>
            <w:proofErr w:type="gramStart"/>
            <w:r w:rsidRPr="00D03D56">
              <w:rPr>
                <w:rFonts w:ascii="標楷體" w:eastAsia="標楷體" w:hAnsi="標楷體" w:hint="eastAsia"/>
              </w:rPr>
              <w:t>工具機臂控制器</w:t>
            </w:r>
            <w:proofErr w:type="gramEnd"/>
          </w:p>
          <w:p w:rsidR="00D03D56" w:rsidRPr="00D03D56" w:rsidRDefault="00D03D56" w:rsidP="00D03D56">
            <w:pPr>
              <w:rPr>
                <w:rFonts w:ascii="標楷體" w:eastAsia="標楷體" w:hAnsi="標楷體"/>
                <w:b/>
              </w:rPr>
            </w:pPr>
            <w:r w:rsidRPr="00D03D56">
              <w:rPr>
                <w:rFonts w:ascii="標楷體" w:eastAsia="標楷體" w:hAnsi="標楷體" w:hint="eastAsia"/>
                <w:b/>
              </w:rPr>
              <w:t>工具機自動化上下料技術應用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>1. 工具機與機器人上下料整合控制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 xml:space="preserve">2. </w:t>
            </w:r>
            <w:proofErr w:type="gramStart"/>
            <w:r w:rsidRPr="00D03D56">
              <w:rPr>
                <w:rFonts w:ascii="標楷體" w:eastAsia="標楷體" w:hAnsi="標楷體" w:hint="eastAsia"/>
              </w:rPr>
              <w:t>高階智動化</w:t>
            </w:r>
            <w:proofErr w:type="gramEnd"/>
            <w:r w:rsidRPr="00D03D56">
              <w:rPr>
                <w:rFonts w:ascii="標楷體" w:eastAsia="標楷體" w:hAnsi="標楷體" w:hint="eastAsia"/>
              </w:rPr>
              <w:t>五軸加工系統解決方案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 xml:space="preserve">3. </w:t>
            </w:r>
            <w:proofErr w:type="gramStart"/>
            <w:r w:rsidRPr="00D03D56">
              <w:rPr>
                <w:rFonts w:ascii="標楷體" w:eastAsia="標楷體" w:hAnsi="標楷體" w:hint="eastAsia"/>
              </w:rPr>
              <w:t>智動控制</w:t>
            </w:r>
            <w:proofErr w:type="gramEnd"/>
            <w:r w:rsidRPr="00D03D56">
              <w:rPr>
                <w:rFonts w:ascii="標楷體" w:eastAsia="標楷體" w:hAnsi="標楷體" w:hint="eastAsia"/>
              </w:rPr>
              <w:t>應用軟體加值模組</w:t>
            </w:r>
          </w:p>
          <w:p w:rsidR="00D03D56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>4. Robot inside五</w:t>
            </w:r>
            <w:proofErr w:type="gramStart"/>
            <w:r w:rsidRPr="00D03D56">
              <w:rPr>
                <w:rFonts w:ascii="標楷體" w:eastAsia="標楷體" w:hAnsi="標楷體" w:hint="eastAsia"/>
              </w:rPr>
              <w:t>軸同動平台</w:t>
            </w:r>
            <w:proofErr w:type="gramEnd"/>
          </w:p>
          <w:p w:rsidR="00EB4518" w:rsidRPr="00D03D56" w:rsidRDefault="00D03D56" w:rsidP="00D03D56">
            <w:pPr>
              <w:rPr>
                <w:rFonts w:ascii="標楷體" w:eastAsia="標楷體" w:hAnsi="標楷體"/>
              </w:rPr>
            </w:pPr>
            <w:r w:rsidRPr="00D03D56">
              <w:rPr>
                <w:rFonts w:ascii="標楷體" w:eastAsia="標楷體" w:hAnsi="標楷體" w:hint="eastAsia"/>
              </w:rPr>
              <w:t>5. 虛擬量測與加工精度預測系統</w:t>
            </w: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EB4518" w:rsidRPr="00D03D56" w:rsidRDefault="00EB4518" w:rsidP="008B7C7E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bookmarkEnd w:id="0"/>
    <w:p w:rsidR="00A0253C" w:rsidRDefault="008B7C7E">
      <w:pPr>
        <w:rPr>
          <w:rFonts w:eastAsia="標楷體"/>
        </w:rPr>
      </w:pPr>
      <w:proofErr w:type="gramStart"/>
      <w:r w:rsidRPr="002F7C0B">
        <w:rPr>
          <w:rFonts w:eastAsia="標楷體"/>
        </w:rPr>
        <w:t>註</w:t>
      </w:r>
      <w:proofErr w:type="gramEnd"/>
      <w:r w:rsidRPr="002F7C0B">
        <w:rPr>
          <w:rFonts w:eastAsia="標楷體"/>
        </w:rPr>
        <w:t>1</w:t>
      </w:r>
      <w:r w:rsidRPr="002F7C0B">
        <w:rPr>
          <w:rFonts w:eastAsia="標楷體"/>
        </w:rPr>
        <w:t>：</w:t>
      </w:r>
      <w:r w:rsidR="00241275" w:rsidRPr="002F7C0B">
        <w:rPr>
          <w:rFonts w:eastAsia="標楷體"/>
        </w:rPr>
        <w:t>本課程全程免費，提供學員便當、茶點，</w:t>
      </w:r>
      <w:r w:rsidR="00D5429C">
        <w:rPr>
          <w:rFonts w:eastAsia="標楷體"/>
        </w:rPr>
        <w:t>歡迎有興趣人士報名參加，</w:t>
      </w:r>
    </w:p>
    <w:p w:rsidR="008E3028" w:rsidRPr="002F7C0B" w:rsidRDefault="00A0253C">
      <w:pPr>
        <w:rPr>
          <w:rFonts w:eastAsia="標楷體"/>
        </w:rPr>
      </w:pPr>
      <w:r>
        <w:rPr>
          <w:rFonts w:eastAsia="標楷體" w:hint="eastAsia"/>
        </w:rPr>
        <w:t>報名網址</w:t>
      </w:r>
      <w:r>
        <w:rPr>
          <w:rFonts w:eastAsia="標楷體" w:hint="eastAsia"/>
        </w:rPr>
        <w:t>:</w:t>
      </w:r>
      <w:r w:rsidRPr="00A0253C">
        <w:t xml:space="preserve"> </w:t>
      </w:r>
      <w:hyperlink r:id="rId7" w:history="1">
        <w:r w:rsidRPr="00E57B62">
          <w:rPr>
            <w:rStyle w:val="a4"/>
            <w:rFonts w:eastAsia="標楷體"/>
          </w:rPr>
          <w:t>https://goo.gl/forms/anv03ylWzyiLMDxr1</w:t>
        </w:r>
      </w:hyperlink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或</w:t>
      </w:r>
      <w:r w:rsidR="00241275" w:rsidRPr="002F7C0B">
        <w:rPr>
          <w:rFonts w:eastAsia="標楷體"/>
        </w:rPr>
        <w:t>Email</w:t>
      </w:r>
      <w:r w:rsidR="00D5429C">
        <w:rPr>
          <w:rFonts w:eastAsia="標楷體" w:hint="eastAsia"/>
        </w:rPr>
        <w:t>/</w:t>
      </w:r>
      <w:r w:rsidR="00241275" w:rsidRPr="002F7C0B">
        <w:rPr>
          <w:rFonts w:eastAsia="標楷體"/>
        </w:rPr>
        <w:t>電話與計畫辦公室聯絡。</w:t>
      </w:r>
    </w:p>
    <w:p w:rsidR="001B43AB" w:rsidRPr="00A0253C" w:rsidRDefault="008B7C7E" w:rsidP="00241275">
      <w:pPr>
        <w:rPr>
          <w:rFonts w:eastAsia="標楷體"/>
        </w:rPr>
      </w:pPr>
      <w:proofErr w:type="gramStart"/>
      <w:r w:rsidRPr="00A0253C">
        <w:rPr>
          <w:rFonts w:eastAsia="標楷體"/>
        </w:rPr>
        <w:t>註</w:t>
      </w:r>
      <w:proofErr w:type="gramEnd"/>
      <w:r w:rsidRPr="00A0253C">
        <w:rPr>
          <w:rFonts w:eastAsia="標楷體"/>
        </w:rPr>
        <w:t>2</w:t>
      </w:r>
      <w:r w:rsidRPr="00A0253C">
        <w:rPr>
          <w:rFonts w:eastAsia="標楷體"/>
        </w:rPr>
        <w:t>：本課程於開課簽到時收取保證金</w:t>
      </w:r>
      <w:r w:rsidRPr="00A0253C">
        <w:rPr>
          <w:rFonts w:eastAsia="標楷體"/>
          <w:color w:val="FF0000"/>
        </w:rPr>
        <w:t>2000</w:t>
      </w:r>
      <w:r w:rsidRPr="00A0253C">
        <w:rPr>
          <w:rFonts w:eastAsia="標楷體"/>
          <w:color w:val="FF0000"/>
        </w:rPr>
        <w:t>元</w:t>
      </w:r>
      <w:r w:rsidR="00337EF7" w:rsidRPr="00A0253C">
        <w:rPr>
          <w:rFonts w:eastAsia="標楷體"/>
        </w:rPr>
        <w:t>，</w:t>
      </w:r>
      <w:r w:rsidR="00241275" w:rsidRPr="00A0253C">
        <w:rPr>
          <w:rFonts w:eastAsia="標楷體"/>
        </w:rPr>
        <w:t>課程</w:t>
      </w:r>
      <w:r w:rsidR="00337EF7" w:rsidRPr="00A0253C">
        <w:rPr>
          <w:rFonts w:eastAsia="標楷體"/>
        </w:rPr>
        <w:t>結束後</w:t>
      </w:r>
      <w:r w:rsidR="00241275" w:rsidRPr="00A0253C">
        <w:rPr>
          <w:rFonts w:eastAsia="標楷體"/>
        </w:rPr>
        <w:t>退</w:t>
      </w:r>
      <w:r w:rsidR="00337EF7" w:rsidRPr="00A0253C">
        <w:rPr>
          <w:rFonts w:eastAsia="標楷體"/>
        </w:rPr>
        <w:t>回；出席率未達</w:t>
      </w:r>
      <w:r w:rsidR="00337EF7" w:rsidRPr="00A0253C">
        <w:rPr>
          <w:rFonts w:eastAsia="標楷體"/>
        </w:rPr>
        <w:t>80</w:t>
      </w:r>
      <w:r w:rsidR="00241275" w:rsidRPr="00A0253C">
        <w:rPr>
          <w:rFonts w:eastAsia="標楷體"/>
        </w:rPr>
        <w:t>％者，</w:t>
      </w:r>
      <w:r w:rsidR="002F7C0B" w:rsidRPr="00A0253C">
        <w:rPr>
          <w:rFonts w:eastAsia="標楷體"/>
        </w:rPr>
        <w:t>將</w:t>
      </w:r>
      <w:r w:rsidR="00337EF7" w:rsidRPr="00A0253C">
        <w:rPr>
          <w:rFonts w:eastAsia="標楷體"/>
        </w:rPr>
        <w:t>沒收保證金</w:t>
      </w:r>
      <w:r w:rsidR="002F7C0B" w:rsidRPr="00A0253C">
        <w:rPr>
          <w:rFonts w:eastAsia="標楷體"/>
        </w:rPr>
        <w:t>不予退還。</w:t>
      </w:r>
    </w:p>
    <w:p w:rsidR="00A0253C" w:rsidRDefault="00A0253C" w:rsidP="006A2C67">
      <w:pPr>
        <w:widowControl/>
        <w:snapToGrid w:val="0"/>
        <w:spacing w:beforeLines="50" w:before="180"/>
        <w:rPr>
          <w:rFonts w:ascii="標楷體" w:eastAsia="標楷體" w:hAnsi="標楷體"/>
          <w:noProof/>
        </w:rPr>
      </w:pPr>
      <w:r w:rsidRPr="002F7C0B">
        <w:rPr>
          <w:rFonts w:eastAsia="標楷體"/>
        </w:rPr>
        <w:t>註</w:t>
      </w:r>
      <w:r>
        <w:rPr>
          <w:rFonts w:eastAsia="標楷體"/>
        </w:rPr>
        <w:t>3</w:t>
      </w:r>
      <w:r w:rsidRPr="002F7C0B">
        <w:rPr>
          <w:rFonts w:eastAsia="標楷體"/>
        </w:rPr>
        <w:t>：</w:t>
      </w:r>
      <w:r>
        <w:rPr>
          <w:rFonts w:ascii="標楷體" w:eastAsia="標楷體" w:hAnsi="標楷體" w:hint="eastAsia"/>
          <w:noProof/>
        </w:rPr>
        <w:t>報名時間:</w:t>
      </w:r>
      <w:r w:rsidRPr="00A0253C">
        <w:rPr>
          <w:rFonts w:ascii="標楷體" w:eastAsia="標楷體" w:hAnsi="標楷體" w:hint="eastAsia"/>
          <w:noProof/>
        </w:rPr>
        <w:t>即日起至107年10月1日上午12點或額滿為止！</w:t>
      </w:r>
    </w:p>
    <w:p w:rsidR="008E3028" w:rsidRPr="002F7C0B" w:rsidRDefault="002F7C0B" w:rsidP="006A2C67">
      <w:pPr>
        <w:widowControl/>
        <w:snapToGrid w:val="0"/>
        <w:spacing w:beforeLines="50" w:before="180"/>
        <w:rPr>
          <w:rFonts w:eastAsia="標楷體"/>
          <w:b/>
          <w:kern w:val="0"/>
        </w:rPr>
      </w:pPr>
      <w:r w:rsidRPr="002F7C0B">
        <w:rPr>
          <w:rFonts w:eastAsia="標楷體"/>
          <w:b/>
          <w:kern w:val="0"/>
        </w:rPr>
        <w:t>強化區域合作推動中南部智慧機械及航太產業升級輔導</w:t>
      </w:r>
      <w:r w:rsidR="0021161C" w:rsidRPr="002F7C0B">
        <w:rPr>
          <w:rFonts w:eastAsia="標楷體"/>
          <w:b/>
          <w:kern w:val="0"/>
        </w:rPr>
        <w:t>推廣計畫辦公室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918"/>
      </w:tblGrid>
      <w:tr w:rsidR="00385150" w:rsidRPr="002F7C0B" w:rsidTr="00385150">
        <w:tc>
          <w:tcPr>
            <w:tcW w:w="4918" w:type="dxa"/>
          </w:tcPr>
          <w:p w:rsidR="00385150" w:rsidRPr="002F7C0B" w:rsidRDefault="00385150" w:rsidP="00385150">
            <w:pPr>
              <w:widowControl/>
              <w:snapToGrid w:val="0"/>
              <w:rPr>
                <w:rFonts w:eastAsia="標楷體"/>
                <w:kern w:val="0"/>
              </w:rPr>
            </w:pPr>
            <w:r w:rsidRPr="002F7C0B">
              <w:rPr>
                <w:rFonts w:eastAsia="標楷體"/>
                <w:kern w:val="0"/>
              </w:rPr>
              <w:t>吳</w:t>
            </w:r>
            <w:proofErr w:type="gramStart"/>
            <w:r w:rsidRPr="002F7C0B">
              <w:rPr>
                <w:rFonts w:eastAsia="標楷體"/>
                <w:kern w:val="0"/>
              </w:rPr>
              <w:t>湞</w:t>
            </w:r>
            <w:proofErr w:type="gramEnd"/>
            <w:r w:rsidRPr="002F7C0B">
              <w:rPr>
                <w:rFonts w:eastAsia="標楷體"/>
                <w:kern w:val="0"/>
              </w:rPr>
              <w:t>伊</w:t>
            </w:r>
            <w:r w:rsidRPr="002F7C0B">
              <w:rPr>
                <w:rFonts w:eastAsia="標楷體"/>
                <w:kern w:val="0"/>
              </w:rPr>
              <w:t xml:space="preserve">  </w:t>
            </w:r>
            <w:r w:rsidRPr="002F7C0B">
              <w:rPr>
                <w:rFonts w:eastAsia="標楷體"/>
                <w:kern w:val="0"/>
              </w:rPr>
              <w:t>主任</w:t>
            </w:r>
          </w:p>
          <w:p w:rsidR="00385150" w:rsidRPr="002F7C0B" w:rsidRDefault="00385150" w:rsidP="001B43AB">
            <w:pPr>
              <w:widowControl/>
              <w:snapToGrid w:val="0"/>
              <w:rPr>
                <w:rFonts w:eastAsia="標楷體"/>
                <w:kern w:val="0"/>
              </w:rPr>
            </w:pPr>
            <w:r w:rsidRPr="002F7C0B">
              <w:rPr>
                <w:rFonts w:eastAsia="標楷體"/>
                <w:kern w:val="0"/>
              </w:rPr>
              <w:t>EMAIL</w:t>
            </w:r>
            <w:r w:rsidRPr="002F7C0B">
              <w:rPr>
                <w:rFonts w:eastAsia="標楷體"/>
                <w:kern w:val="0"/>
              </w:rPr>
              <w:t>：</w:t>
            </w:r>
            <w:hyperlink r:id="rId8" w:tgtFrame="_blank" w:history="1">
              <w:r w:rsidRPr="002F7C0B">
                <w:rPr>
                  <w:rFonts w:eastAsia="標楷體"/>
                  <w:color w:val="0000FF"/>
                  <w:kern w:val="0"/>
                  <w:u w:val="single"/>
                </w:rPr>
                <w:t>pingi86wu@gmail.com</w:t>
              </w:r>
            </w:hyperlink>
          </w:p>
        </w:tc>
        <w:tc>
          <w:tcPr>
            <w:tcW w:w="4918" w:type="dxa"/>
          </w:tcPr>
          <w:p w:rsidR="00385150" w:rsidRPr="002F7C0B" w:rsidRDefault="008B7C7E" w:rsidP="00385150">
            <w:pPr>
              <w:widowControl/>
              <w:snapToGrid w:val="0"/>
              <w:rPr>
                <w:rFonts w:eastAsia="標楷體"/>
              </w:rPr>
            </w:pPr>
            <w:r w:rsidRPr="002F7C0B">
              <w:rPr>
                <w:rFonts w:eastAsia="標楷體"/>
              </w:rPr>
              <w:t>鄭艷秋</w:t>
            </w:r>
            <w:r w:rsidR="00385150" w:rsidRPr="002F7C0B">
              <w:rPr>
                <w:rFonts w:eastAsia="標楷體"/>
              </w:rPr>
              <w:t xml:space="preserve"> </w:t>
            </w:r>
            <w:r w:rsidR="00385150" w:rsidRPr="002F7C0B">
              <w:rPr>
                <w:rFonts w:eastAsia="標楷體"/>
              </w:rPr>
              <w:t>專員</w:t>
            </w:r>
          </w:p>
          <w:p w:rsidR="00385150" w:rsidRPr="002F7C0B" w:rsidRDefault="00385150" w:rsidP="001B43AB">
            <w:pPr>
              <w:widowControl/>
              <w:snapToGrid w:val="0"/>
              <w:rPr>
                <w:rFonts w:eastAsia="標楷體"/>
              </w:rPr>
            </w:pPr>
            <w:r w:rsidRPr="002F7C0B">
              <w:rPr>
                <w:rFonts w:eastAsia="標楷體"/>
              </w:rPr>
              <w:t>EMAIL</w:t>
            </w:r>
            <w:r w:rsidRPr="002F7C0B">
              <w:rPr>
                <w:rFonts w:eastAsia="標楷體"/>
              </w:rPr>
              <w:t>：</w:t>
            </w:r>
            <w:r w:rsidR="008B7C7E" w:rsidRPr="002F7C0B">
              <w:t>d875212@gmail.com</w:t>
            </w:r>
          </w:p>
        </w:tc>
      </w:tr>
    </w:tbl>
    <w:p w:rsidR="008E3028" w:rsidRPr="002F7C0B" w:rsidRDefault="008E3028" w:rsidP="001B43AB">
      <w:pPr>
        <w:widowControl/>
        <w:snapToGrid w:val="0"/>
        <w:rPr>
          <w:rFonts w:eastAsia="標楷體"/>
        </w:rPr>
      </w:pPr>
      <w:r w:rsidRPr="002F7C0B">
        <w:rPr>
          <w:rFonts w:eastAsia="標楷體"/>
        </w:rPr>
        <w:t>電話：</w:t>
      </w:r>
      <w:r w:rsidRPr="002F7C0B">
        <w:rPr>
          <w:rFonts w:eastAsia="標楷體"/>
        </w:rPr>
        <w:t>04-36068996</w:t>
      </w:r>
      <w:r w:rsidRPr="002F7C0B">
        <w:rPr>
          <w:rFonts w:eastAsia="標楷體"/>
        </w:rPr>
        <w:t>分機</w:t>
      </w:r>
      <w:r w:rsidRPr="002F7C0B">
        <w:rPr>
          <w:rFonts w:eastAsia="標楷體"/>
        </w:rPr>
        <w:t>4501</w:t>
      </w:r>
      <w:r w:rsidRPr="002F7C0B">
        <w:rPr>
          <w:rFonts w:eastAsia="標楷體"/>
        </w:rPr>
        <w:t>、</w:t>
      </w:r>
      <w:r w:rsidR="008B7C7E" w:rsidRPr="002F7C0B">
        <w:rPr>
          <w:rFonts w:eastAsia="標楷體"/>
        </w:rPr>
        <w:t>1007</w:t>
      </w:r>
    </w:p>
    <w:p w:rsidR="008E3028" w:rsidRPr="002F7C0B" w:rsidRDefault="008E3028" w:rsidP="001B43AB">
      <w:pPr>
        <w:widowControl/>
        <w:snapToGrid w:val="0"/>
        <w:rPr>
          <w:rFonts w:eastAsia="標楷體"/>
        </w:rPr>
      </w:pPr>
      <w:r w:rsidRPr="002F7C0B">
        <w:rPr>
          <w:rFonts w:eastAsia="標楷體"/>
        </w:rPr>
        <w:t>傳真：</w:t>
      </w:r>
      <w:r w:rsidRPr="002F7C0B">
        <w:rPr>
          <w:rFonts w:eastAsia="標楷體"/>
        </w:rPr>
        <w:t>04-36068995</w:t>
      </w:r>
    </w:p>
    <w:p w:rsidR="008E3028" w:rsidRPr="002F7C0B" w:rsidRDefault="008E3028" w:rsidP="008B7C7E">
      <w:pPr>
        <w:widowControl/>
        <w:snapToGrid w:val="0"/>
      </w:pPr>
      <w:r w:rsidRPr="002F7C0B">
        <w:rPr>
          <w:rFonts w:eastAsia="標楷體"/>
          <w:kern w:val="0"/>
        </w:rPr>
        <w:t>地址：</w:t>
      </w:r>
      <w:r w:rsidRPr="002F7C0B">
        <w:rPr>
          <w:rFonts w:eastAsia="標楷體"/>
          <w:kern w:val="0"/>
        </w:rPr>
        <w:t>407</w:t>
      </w:r>
      <w:r w:rsidRPr="002F7C0B">
        <w:rPr>
          <w:rFonts w:eastAsia="標楷體"/>
          <w:kern w:val="0"/>
        </w:rPr>
        <w:t>台中市西屯區科園路</w:t>
      </w:r>
      <w:r w:rsidRPr="002F7C0B">
        <w:rPr>
          <w:rFonts w:eastAsia="標楷體"/>
          <w:kern w:val="0"/>
        </w:rPr>
        <w:t>19</w:t>
      </w:r>
      <w:r w:rsidRPr="002F7C0B">
        <w:rPr>
          <w:rFonts w:eastAsia="標楷體"/>
          <w:kern w:val="0"/>
        </w:rPr>
        <w:t>號</w:t>
      </w:r>
      <w:r w:rsidR="00DC2455" w:rsidRPr="002F7C0B">
        <w:rPr>
          <w:rFonts w:eastAsia="標楷體"/>
          <w:kern w:val="0"/>
        </w:rPr>
        <w:t xml:space="preserve"> </w:t>
      </w:r>
    </w:p>
    <w:sectPr w:rsidR="008E3028" w:rsidRPr="002F7C0B" w:rsidSect="006A2C67">
      <w:footerReference w:type="default" r:id="rId9"/>
      <w:pgSz w:w="11906" w:h="16838"/>
      <w:pgMar w:top="426" w:right="849" w:bottom="709" w:left="709" w:header="851" w:footer="5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9B9" w:rsidRDefault="001F09B9" w:rsidP="00DC2455">
      <w:r>
        <w:separator/>
      </w:r>
    </w:p>
  </w:endnote>
  <w:endnote w:type="continuationSeparator" w:id="0">
    <w:p w:rsidR="001F09B9" w:rsidRDefault="001F09B9" w:rsidP="00DC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D·￠Ae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標楷體a.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455" w:rsidRPr="001B43AB" w:rsidRDefault="00DC2455" w:rsidP="001B43AB">
    <w:pPr>
      <w:tabs>
        <w:tab w:val="left" w:pos="8217"/>
      </w:tabs>
      <w:ind w:rightChars="-212" w:right="-509"/>
      <w:rPr>
        <w:bCs/>
        <w:color w:val="7F7F7F"/>
        <w:sz w:val="20"/>
        <w:szCs w:val="22"/>
      </w:rPr>
    </w:pPr>
    <w:r>
      <w:rPr>
        <w:rFonts w:hint="eastAsia"/>
        <w:bCs/>
        <w:color w:val="808080"/>
        <w:sz w:val="20"/>
        <w:szCs w:val="22"/>
      </w:rPr>
      <w:t>主辦單位：</w:t>
    </w:r>
    <w:r>
      <w:rPr>
        <w:rFonts w:hAnsi="標楷體" w:hint="eastAsia"/>
        <w:color w:val="808080"/>
        <w:sz w:val="20"/>
        <w:szCs w:val="20"/>
      </w:rPr>
      <w:t>中部科學工業園區管理局</w:t>
    </w:r>
    <w:r>
      <w:rPr>
        <w:bCs/>
        <w:color w:val="7F7F7F"/>
        <w:sz w:val="20"/>
        <w:szCs w:val="22"/>
      </w:rPr>
      <w:t xml:space="preserve"> </w:t>
    </w:r>
    <w:r>
      <w:rPr>
        <w:bCs/>
        <w:color w:val="000000"/>
        <w:sz w:val="20"/>
        <w:szCs w:val="22"/>
      </w:rPr>
      <w:t xml:space="preserve">                        </w:t>
    </w:r>
    <w:r>
      <w:rPr>
        <w:rFonts w:hint="eastAsia"/>
        <w:bCs/>
        <w:color w:val="000000"/>
        <w:sz w:val="20"/>
        <w:szCs w:val="22"/>
      </w:rPr>
      <w:t xml:space="preserve">      </w:t>
    </w:r>
    <w:r>
      <w:rPr>
        <w:rFonts w:hint="eastAsia"/>
        <w:bCs/>
        <w:color w:val="7F7F7F"/>
        <w:sz w:val="20"/>
        <w:szCs w:val="22"/>
      </w:rPr>
      <w:t>執行單位：國立中興大學、</w:t>
    </w:r>
    <w:r w:rsidRPr="00DC2455">
      <w:rPr>
        <w:rFonts w:hint="eastAsia"/>
        <w:bCs/>
        <w:color w:val="7F7F7F"/>
        <w:sz w:val="20"/>
        <w:szCs w:val="22"/>
      </w:rPr>
      <w:t>國立虎尾科技大學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9B9" w:rsidRDefault="001F09B9" w:rsidP="00DC2455">
      <w:r>
        <w:separator/>
      </w:r>
    </w:p>
  </w:footnote>
  <w:footnote w:type="continuationSeparator" w:id="0">
    <w:p w:rsidR="001F09B9" w:rsidRDefault="001F09B9" w:rsidP="00DC2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395"/>
    <w:multiLevelType w:val="hybridMultilevel"/>
    <w:tmpl w:val="CBECCB08"/>
    <w:lvl w:ilvl="0" w:tplc="53E2936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3484F"/>
    <w:multiLevelType w:val="hybridMultilevel"/>
    <w:tmpl w:val="AF3874F2"/>
    <w:lvl w:ilvl="0" w:tplc="B9545F9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D6F5C"/>
    <w:multiLevelType w:val="hybridMultilevel"/>
    <w:tmpl w:val="E0EC4D9E"/>
    <w:lvl w:ilvl="0" w:tplc="DB90B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AD7C98"/>
    <w:multiLevelType w:val="hybridMultilevel"/>
    <w:tmpl w:val="1BA62680"/>
    <w:lvl w:ilvl="0" w:tplc="80B65194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590CBB"/>
    <w:multiLevelType w:val="hybridMultilevel"/>
    <w:tmpl w:val="A61AA4A8"/>
    <w:lvl w:ilvl="0" w:tplc="4EA6A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CD4A69"/>
    <w:multiLevelType w:val="hybridMultilevel"/>
    <w:tmpl w:val="AF3874F2"/>
    <w:lvl w:ilvl="0" w:tplc="B9545F9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E075D9"/>
    <w:multiLevelType w:val="hybridMultilevel"/>
    <w:tmpl w:val="CE260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1903C1"/>
    <w:multiLevelType w:val="multilevel"/>
    <w:tmpl w:val="54A231AE"/>
    <w:lvl w:ilvl="0">
      <w:start w:val="1"/>
      <w:numFmt w:val="decimal"/>
      <w:lvlText w:val="%1、"/>
      <w:lvlJc w:val="left"/>
      <w:pPr>
        <w:ind w:left="660" w:hanging="480"/>
      </w:pPr>
      <w:rPr>
        <w:rFonts w:cs="Times New Roman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8" w15:restartNumberingAfterBreak="0">
    <w:nsid w:val="68537AD6"/>
    <w:multiLevelType w:val="hybridMultilevel"/>
    <w:tmpl w:val="55F40298"/>
    <w:lvl w:ilvl="0" w:tplc="A5566202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3B35F2"/>
    <w:multiLevelType w:val="hybridMultilevel"/>
    <w:tmpl w:val="6164CA9C"/>
    <w:lvl w:ilvl="0" w:tplc="1038A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CF03FB"/>
    <w:multiLevelType w:val="hybridMultilevel"/>
    <w:tmpl w:val="C534E5A8"/>
    <w:lvl w:ilvl="0" w:tplc="DB90B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2E72CA"/>
    <w:multiLevelType w:val="hybridMultilevel"/>
    <w:tmpl w:val="83B8AB2E"/>
    <w:lvl w:ilvl="0" w:tplc="CD6AD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96"/>
    <w:rsid w:val="000014DE"/>
    <w:rsid w:val="000A3211"/>
    <w:rsid w:val="00122E40"/>
    <w:rsid w:val="00196E4F"/>
    <w:rsid w:val="001B43AB"/>
    <w:rsid w:val="001E7F7B"/>
    <w:rsid w:val="001F09B9"/>
    <w:rsid w:val="00201BAE"/>
    <w:rsid w:val="0021161C"/>
    <w:rsid w:val="00226EBB"/>
    <w:rsid w:val="00241275"/>
    <w:rsid w:val="00275CFF"/>
    <w:rsid w:val="002805E1"/>
    <w:rsid w:val="002B0C07"/>
    <w:rsid w:val="002B120B"/>
    <w:rsid w:val="002F7C0B"/>
    <w:rsid w:val="00337EF7"/>
    <w:rsid w:val="00385150"/>
    <w:rsid w:val="003A26A0"/>
    <w:rsid w:val="003B7404"/>
    <w:rsid w:val="003C1BCF"/>
    <w:rsid w:val="003D08B3"/>
    <w:rsid w:val="00434708"/>
    <w:rsid w:val="0048135E"/>
    <w:rsid w:val="004B6E9D"/>
    <w:rsid w:val="004E4B97"/>
    <w:rsid w:val="00504B72"/>
    <w:rsid w:val="00511A90"/>
    <w:rsid w:val="0054773F"/>
    <w:rsid w:val="00567EAD"/>
    <w:rsid w:val="005742FC"/>
    <w:rsid w:val="0058152E"/>
    <w:rsid w:val="00586052"/>
    <w:rsid w:val="00586C0E"/>
    <w:rsid w:val="006A2C67"/>
    <w:rsid w:val="006A4C61"/>
    <w:rsid w:val="006B773A"/>
    <w:rsid w:val="00747787"/>
    <w:rsid w:val="00756A99"/>
    <w:rsid w:val="007D3AA0"/>
    <w:rsid w:val="00821C96"/>
    <w:rsid w:val="008B7C7E"/>
    <w:rsid w:val="008E3028"/>
    <w:rsid w:val="00921055"/>
    <w:rsid w:val="00924CC5"/>
    <w:rsid w:val="00975110"/>
    <w:rsid w:val="009C7351"/>
    <w:rsid w:val="009D4BA1"/>
    <w:rsid w:val="00A0253C"/>
    <w:rsid w:val="00A45F56"/>
    <w:rsid w:val="00A520AB"/>
    <w:rsid w:val="00AF00BC"/>
    <w:rsid w:val="00B148D4"/>
    <w:rsid w:val="00BB230E"/>
    <w:rsid w:val="00BC41E4"/>
    <w:rsid w:val="00C87E52"/>
    <w:rsid w:val="00C93378"/>
    <w:rsid w:val="00CC4933"/>
    <w:rsid w:val="00CE3D3E"/>
    <w:rsid w:val="00D03D56"/>
    <w:rsid w:val="00D54042"/>
    <w:rsid w:val="00D5429C"/>
    <w:rsid w:val="00D7129E"/>
    <w:rsid w:val="00DC2455"/>
    <w:rsid w:val="00DF40BC"/>
    <w:rsid w:val="00EB4518"/>
    <w:rsid w:val="00EC0EC7"/>
    <w:rsid w:val="00ED685F"/>
    <w:rsid w:val="00F938A6"/>
    <w:rsid w:val="00FB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B8DBF9-2820-4B91-800E-0CFE7FC9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C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821C96"/>
    <w:rPr>
      <w:rFonts w:ascii="細明體" w:eastAsia="細明體" w:hAnsi="Courier New"/>
    </w:rPr>
  </w:style>
  <w:style w:type="paragraph" w:customStyle="1" w:styleId="2">
    <w:name w:val="純文字2"/>
    <w:basedOn w:val="a"/>
    <w:rsid w:val="00821C96"/>
    <w:rPr>
      <w:rFonts w:ascii="細明體" w:eastAsia="細明體" w:hAnsi="Courier New"/>
    </w:rPr>
  </w:style>
  <w:style w:type="character" w:styleId="a3">
    <w:name w:val="Strong"/>
    <w:uiPriority w:val="22"/>
    <w:qFormat/>
    <w:rsid w:val="00821C96"/>
    <w:rPr>
      <w:b/>
      <w:bCs/>
    </w:rPr>
  </w:style>
  <w:style w:type="paragraph" w:customStyle="1" w:styleId="Default">
    <w:name w:val="Default"/>
    <w:rsid w:val="00821C96"/>
    <w:pPr>
      <w:widowControl w:val="0"/>
      <w:autoSpaceDE w:val="0"/>
      <w:autoSpaceDN w:val="0"/>
      <w:adjustRightInd w:val="0"/>
    </w:pPr>
    <w:rPr>
      <w:rFonts w:ascii=".D·￠Ae" w:eastAsia=".D·￠Ae" w:hAnsi="Calibri" w:cs=".D·￠Ae"/>
      <w:color w:val="000000"/>
      <w:kern w:val="0"/>
      <w:szCs w:val="24"/>
    </w:rPr>
  </w:style>
  <w:style w:type="paragraph" w:customStyle="1" w:styleId="t1">
    <w:name w:val="t1"/>
    <w:basedOn w:val="a"/>
    <w:rsid w:val="009C7351"/>
    <w:pPr>
      <w:spacing w:beforeLines="50" w:line="360" w:lineRule="auto"/>
      <w:ind w:left="482" w:hangingChars="172" w:hanging="482"/>
    </w:pPr>
    <w:rPr>
      <w:rFonts w:ascii="Arial" w:eastAsia="標楷體" w:hAnsi="Arial" w:cs="Arial"/>
      <w:sz w:val="28"/>
      <w:szCs w:val="20"/>
    </w:rPr>
  </w:style>
  <w:style w:type="character" w:styleId="a4">
    <w:name w:val="Hyperlink"/>
    <w:basedOn w:val="a0"/>
    <w:uiPriority w:val="99"/>
    <w:unhideWhenUsed/>
    <w:rsid w:val="008E302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C2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245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C2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245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3AA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85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qFormat/>
    <w:rsid w:val="00921055"/>
    <w:pPr>
      <w:suppressAutoHyphens/>
      <w:autoSpaceDN w:val="0"/>
      <w:ind w:left="480"/>
    </w:pPr>
    <w:rPr>
      <w:kern w:val="3"/>
    </w:rPr>
  </w:style>
  <w:style w:type="character" w:styleId="ad">
    <w:name w:val="FollowedHyperlink"/>
    <w:basedOn w:val="a0"/>
    <w:uiPriority w:val="99"/>
    <w:semiHidden/>
    <w:unhideWhenUsed/>
    <w:rsid w:val="003C1BCF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FB122C"/>
    <w:pPr>
      <w:autoSpaceDE w:val="0"/>
      <w:autoSpaceDN w:val="0"/>
      <w:adjustRightInd w:val="0"/>
    </w:pPr>
    <w:rPr>
      <w:rFonts w:eastAsia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3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93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86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1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42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66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7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23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97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gi86w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anv03ylWzyiLMDxr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2018-09-25T01:21:00Z</dcterms:created>
  <dcterms:modified xsi:type="dcterms:W3CDTF">2018-09-26T02:53:00Z</dcterms:modified>
</cp:coreProperties>
</file>